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65" w:tblpY="-3085"/>
        <w:tblW w:w="110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662"/>
      </w:tblGrid>
      <w:tr w:rsidR="00BB2D3A" w:rsidRPr="00BB2D3A" w14:paraId="329923A9" w14:textId="77777777" w:rsidTr="00BB2D3A">
        <w:trPr>
          <w:trHeight w:val="993"/>
        </w:trPr>
        <w:tc>
          <w:tcPr>
            <w:tcW w:w="4395" w:type="dxa"/>
          </w:tcPr>
          <w:p w14:paraId="102C3ABD" w14:textId="77777777" w:rsidR="00BB2D3A" w:rsidRDefault="00BB2D3A" w:rsidP="00BB2D3A">
            <w:pPr>
              <w:ind w:firstLine="460"/>
            </w:pPr>
          </w:p>
        </w:tc>
        <w:tc>
          <w:tcPr>
            <w:tcW w:w="6662" w:type="dxa"/>
          </w:tcPr>
          <w:p w14:paraId="0BD62D6B" w14:textId="77777777" w:rsidR="00BB2D3A" w:rsidRPr="00582962" w:rsidRDefault="00BB2D3A" w:rsidP="00BB2D3A">
            <w:pPr>
              <w:rPr>
                <w:lang w:val="en-US"/>
              </w:rPr>
            </w:pPr>
          </w:p>
        </w:tc>
      </w:tr>
    </w:tbl>
    <w:p w14:paraId="736DAF71" w14:textId="169C2308" w:rsidR="00DE68B0" w:rsidRDefault="00071644" w:rsidP="004A26AA">
      <w:pPr>
        <w:tabs>
          <w:tab w:val="right" w:pos="9355"/>
        </w:tabs>
        <w:ind w:hanging="567"/>
        <w:rPr>
          <w:b/>
        </w:rPr>
      </w:pPr>
      <w:r w:rsidRPr="004A26AA">
        <w:t xml:space="preserve">Исх. № </w:t>
      </w:r>
      <w:r w:rsidR="00BB2D3A">
        <w:t>___</w:t>
      </w:r>
      <w:r w:rsidRPr="004A26AA">
        <w:t xml:space="preserve"> от «</w:t>
      </w:r>
      <w:r w:rsidR="00BB2D3A">
        <w:t>___</w:t>
      </w:r>
      <w:r w:rsidRPr="004A26AA">
        <w:t xml:space="preserve">» </w:t>
      </w:r>
      <w:r w:rsidR="00BB2D3A">
        <w:t>____</w:t>
      </w:r>
      <w:r w:rsidRPr="004A26AA">
        <w:t xml:space="preserve"> 2026 г.</w:t>
      </w:r>
      <w:r>
        <w:tab/>
      </w:r>
      <w:r w:rsidR="00BB2D3A">
        <w:rPr>
          <w:b/>
        </w:rPr>
        <w:t>(Кому, должность)</w:t>
      </w:r>
    </w:p>
    <w:p w14:paraId="10A7967E" w14:textId="23A385CF" w:rsidR="00DE68B0" w:rsidRPr="004A26AA" w:rsidRDefault="00DE68B0" w:rsidP="00BB2D3A">
      <w:pPr>
        <w:tabs>
          <w:tab w:val="right" w:pos="9355"/>
        </w:tabs>
        <w:ind w:hanging="284"/>
        <w:jc w:val="right"/>
      </w:pPr>
      <w:r w:rsidRPr="004A26AA">
        <w:t xml:space="preserve"> </w:t>
      </w:r>
      <w:r w:rsidR="00BB2D3A">
        <w:t>_______________________________</w:t>
      </w:r>
    </w:p>
    <w:p w14:paraId="34BB5D65" w14:textId="0E2B4497" w:rsidR="00DE68B0" w:rsidRDefault="00BB2D3A" w:rsidP="004A26AA">
      <w:pPr>
        <w:tabs>
          <w:tab w:val="right" w:pos="9355"/>
        </w:tabs>
        <w:ind w:firstLine="0"/>
        <w:jc w:val="right"/>
        <w:rPr>
          <w:b/>
        </w:rPr>
      </w:pPr>
      <w:r>
        <w:rPr>
          <w:b/>
        </w:rPr>
        <w:t>(ФИО)</w:t>
      </w:r>
      <w:r>
        <w:rPr>
          <w:b/>
        </w:rPr>
        <w:br/>
        <w:t>_______________________________</w:t>
      </w:r>
    </w:p>
    <w:p w14:paraId="36F7C0EB" w14:textId="2CF30795" w:rsidR="00DE68B0" w:rsidRDefault="00DE68B0" w:rsidP="00DE68B0">
      <w:pPr>
        <w:tabs>
          <w:tab w:val="right" w:pos="9355"/>
        </w:tabs>
        <w:ind w:firstLine="0"/>
        <w:jc w:val="right"/>
        <w:rPr>
          <w:b/>
        </w:rPr>
      </w:pPr>
    </w:p>
    <w:p w14:paraId="0276B7D9" w14:textId="77777777" w:rsidR="00BB2D3A" w:rsidRDefault="00BB2D3A" w:rsidP="00DE68B0">
      <w:pPr>
        <w:tabs>
          <w:tab w:val="right" w:pos="9355"/>
        </w:tabs>
        <w:ind w:firstLine="0"/>
        <w:jc w:val="right"/>
        <w:rPr>
          <w:b/>
        </w:rPr>
      </w:pPr>
    </w:p>
    <w:p w14:paraId="2103FBEA" w14:textId="12FAB4D3" w:rsidR="004A4627" w:rsidRDefault="00071644" w:rsidP="004A26AA">
      <w:pPr>
        <w:tabs>
          <w:tab w:val="right" w:pos="9355"/>
        </w:tabs>
        <w:ind w:firstLine="0"/>
        <w:jc w:val="center"/>
        <w:rPr>
          <w:b/>
        </w:rPr>
      </w:pPr>
      <w:r w:rsidRPr="004A26AA">
        <w:t xml:space="preserve">ЗАЯВЛЕНИЕ </w:t>
      </w:r>
      <w:r w:rsidRPr="004A26AA">
        <w:br/>
      </w:r>
      <w:r w:rsidRPr="00071644">
        <w:rPr>
          <w:b/>
        </w:rPr>
        <w:t>о риске безопасности</w:t>
      </w:r>
      <w:r w:rsidR="004A4627">
        <w:rPr>
          <w:b/>
        </w:rPr>
        <w:t xml:space="preserve"> сетей связи,</w:t>
      </w:r>
    </w:p>
    <w:p w14:paraId="30E3F762" w14:textId="0C5A2144" w:rsidR="00071644" w:rsidRDefault="004A4627" w:rsidP="004A26AA">
      <w:pPr>
        <w:ind w:left="-851"/>
        <w:jc w:val="center"/>
        <w:rPr>
          <w:b/>
        </w:rPr>
      </w:pPr>
      <w:r>
        <w:rPr>
          <w:b/>
        </w:rPr>
        <w:t>безработице, монополиза</w:t>
      </w:r>
      <w:r w:rsidRPr="00071644">
        <w:rPr>
          <w:b/>
        </w:rPr>
        <w:t xml:space="preserve">ции рынка </w:t>
      </w:r>
      <w:proofErr w:type="gramStart"/>
      <w:r w:rsidRPr="00071644">
        <w:rPr>
          <w:b/>
        </w:rPr>
        <w:t xml:space="preserve">связи,  </w:t>
      </w:r>
      <w:r>
        <w:rPr>
          <w:b/>
        </w:rPr>
        <w:t>и</w:t>
      </w:r>
      <w:proofErr w:type="gramEnd"/>
      <w:r>
        <w:rPr>
          <w:b/>
        </w:rPr>
        <w:t xml:space="preserve"> ущерба </w:t>
      </w:r>
      <w:r w:rsidRPr="00071644">
        <w:rPr>
          <w:b/>
        </w:rPr>
        <w:t>смежным отраслям</w:t>
      </w:r>
    </w:p>
    <w:p w14:paraId="349626FF" w14:textId="77777777" w:rsidR="00071644" w:rsidRPr="00071644" w:rsidRDefault="00071644" w:rsidP="00DE68B0">
      <w:pPr>
        <w:ind w:left="-851"/>
        <w:jc w:val="center"/>
      </w:pPr>
    </w:p>
    <w:p w14:paraId="7F62C78B" w14:textId="0294082D" w:rsidR="00071644" w:rsidRDefault="00071644" w:rsidP="004A26AA">
      <w:pPr>
        <w:ind w:left="-851" w:firstLine="0"/>
        <w:jc w:val="center"/>
        <w:rPr>
          <w:b/>
        </w:rPr>
      </w:pPr>
      <w:r w:rsidRPr="00071644">
        <w:rPr>
          <w:b/>
        </w:rPr>
        <w:t>Уважаем</w:t>
      </w:r>
      <w:r w:rsidR="004A26AA">
        <w:rPr>
          <w:b/>
        </w:rPr>
        <w:t>ая</w:t>
      </w:r>
      <w:r w:rsidR="00BB2D3A">
        <w:rPr>
          <w:b/>
        </w:rPr>
        <w:t>(</w:t>
      </w:r>
      <w:proofErr w:type="spellStart"/>
      <w:r w:rsidR="00BB2D3A">
        <w:rPr>
          <w:b/>
        </w:rPr>
        <w:t>ый</w:t>
      </w:r>
      <w:proofErr w:type="spellEnd"/>
      <w:r w:rsidR="00BB2D3A">
        <w:rPr>
          <w:b/>
        </w:rPr>
        <w:t>)</w:t>
      </w:r>
      <w:r w:rsidR="004A26AA">
        <w:rPr>
          <w:b/>
        </w:rPr>
        <w:t xml:space="preserve"> </w:t>
      </w:r>
      <w:r w:rsidR="00BB2D3A">
        <w:rPr>
          <w:b/>
        </w:rPr>
        <w:t>_____________</w:t>
      </w:r>
      <w:r w:rsidR="004A26AA">
        <w:rPr>
          <w:b/>
        </w:rPr>
        <w:t>!</w:t>
      </w:r>
    </w:p>
    <w:p w14:paraId="4E358A92" w14:textId="77777777" w:rsidR="00D20AD6" w:rsidRPr="00071644" w:rsidRDefault="00D20AD6" w:rsidP="004A26AA">
      <w:pPr>
        <w:ind w:left="-851" w:firstLine="0"/>
        <w:jc w:val="center"/>
      </w:pPr>
    </w:p>
    <w:p w14:paraId="0B8E2792" w14:textId="6B2EBF62" w:rsidR="00071644" w:rsidRPr="00071644" w:rsidRDefault="004A26AA" w:rsidP="00DE68B0">
      <w:pPr>
        <w:ind w:left="-851"/>
        <w:jc w:val="both"/>
      </w:pPr>
      <w:r>
        <w:t>О</w:t>
      </w:r>
      <w:r w:rsidR="00071644" w:rsidRPr="00071644">
        <w:t>бращае</w:t>
      </w:r>
      <w:r>
        <w:t>м</w:t>
      </w:r>
      <w:r w:rsidR="00071644" w:rsidRPr="00071644">
        <w:t>ся к Вам в связи с серьёзной угрозой, нависшей над отечественной отраслью связи. Как патриоты своего дела, мы не можем оставаться в стороне, когда под угрозу ставится конкурентная, устойчивая и технологически суверенная система связи России – стратегический актив государства.</w:t>
      </w:r>
    </w:p>
    <w:p w14:paraId="5616D181" w14:textId="298ED8E2" w:rsidR="00DE68B0" w:rsidRDefault="004A4627" w:rsidP="00DE68B0">
      <w:pPr>
        <w:ind w:left="-907"/>
        <w:jc w:val="both"/>
        <w:rPr>
          <w:rFonts w:eastAsia="Times New Roman"/>
          <w:color w:val="333333"/>
          <w:lang w:eastAsia="ru-RU"/>
        </w:rPr>
      </w:pPr>
      <w:r w:rsidRPr="004A4627">
        <w:rPr>
          <w:rFonts w:eastAsia="Times New Roman"/>
          <w:color w:val="333333"/>
          <w:lang w:eastAsia="ru-RU"/>
        </w:rPr>
        <w:t>Настоящее обращение основано на анализе прилагаемых материалов, а также на ряде публичных публикаций и видеоматериалов, в которых отражены обсуждаемые подходы к реформированию отрасли связи и их вероятные последствия для конкуренции, занятости и устойчивости инфраструктуры</w:t>
      </w:r>
      <w:r w:rsidR="00DE68B0">
        <w:rPr>
          <w:rFonts w:eastAsia="Times New Roman"/>
          <w:color w:val="333333"/>
          <w:lang w:eastAsia="ru-RU"/>
        </w:rPr>
        <w:t xml:space="preserve"> (ссылки - в приложении №5).</w:t>
      </w:r>
    </w:p>
    <w:p w14:paraId="6790BA1E" w14:textId="3B2D5B5D" w:rsidR="004A4627" w:rsidRPr="004A4627" w:rsidRDefault="004A4627" w:rsidP="00DE68B0">
      <w:pPr>
        <w:ind w:left="-907"/>
        <w:jc w:val="both"/>
        <w:rPr>
          <w:rFonts w:eastAsia="Times New Roman"/>
          <w:color w:val="333333"/>
          <w:lang w:eastAsia="ru-RU"/>
        </w:rPr>
      </w:pPr>
      <w:r w:rsidRPr="004A4627">
        <w:rPr>
          <w:rFonts w:eastAsia="Times New Roman"/>
          <w:color w:val="333333"/>
          <w:lang w:eastAsia="ru-RU"/>
        </w:rPr>
        <w:t xml:space="preserve"> Указанные публикации не заменяют приложенные документы, но подтверждают, что обсуждаемые инициативы уже приобрели публичный и общественно значимый характер.</w:t>
      </w:r>
    </w:p>
    <w:p w14:paraId="364105F0" w14:textId="77777777" w:rsidR="00071644" w:rsidRPr="00071644" w:rsidRDefault="00071644" w:rsidP="00DE68B0">
      <w:pPr>
        <w:ind w:left="-851"/>
        <w:jc w:val="both"/>
      </w:pPr>
    </w:p>
    <w:p w14:paraId="778D9762" w14:textId="77777777" w:rsidR="00071644" w:rsidRDefault="00071644" w:rsidP="00DE68B0">
      <w:pPr>
        <w:ind w:left="-851"/>
        <w:jc w:val="center"/>
        <w:rPr>
          <w:b/>
        </w:rPr>
      </w:pPr>
      <w:r w:rsidRPr="00071644">
        <w:rPr>
          <w:b/>
        </w:rPr>
        <w:t>Просим рассмотреть настоящее обращение в срочном порядке.</w:t>
      </w:r>
    </w:p>
    <w:p w14:paraId="0DF58A95" w14:textId="77777777" w:rsidR="00071644" w:rsidRPr="00071644" w:rsidRDefault="00071644" w:rsidP="00DE68B0">
      <w:pPr>
        <w:ind w:left="-851"/>
        <w:jc w:val="both"/>
      </w:pPr>
    </w:p>
    <w:p w14:paraId="1FD232E6" w14:textId="77777777" w:rsidR="00071644" w:rsidRPr="00071644" w:rsidRDefault="00071644" w:rsidP="00DE68B0">
      <w:pPr>
        <w:ind w:left="-851"/>
        <w:jc w:val="both"/>
        <w:rPr>
          <w:b/>
        </w:rPr>
      </w:pPr>
      <w:r w:rsidRPr="00071644">
        <w:rPr>
          <w:b/>
        </w:rPr>
        <w:t xml:space="preserve">I. </w:t>
      </w:r>
      <w:r>
        <w:rPr>
          <w:b/>
        </w:rPr>
        <w:t>Готовящаяся</w:t>
      </w:r>
      <w:r w:rsidRPr="00071644">
        <w:rPr>
          <w:b/>
        </w:rPr>
        <w:t xml:space="preserve"> реформа отрасли связи</w:t>
      </w:r>
    </w:p>
    <w:p w14:paraId="291CFD19" w14:textId="77777777" w:rsidR="004A26AA" w:rsidRDefault="004A26AA" w:rsidP="00DE68B0">
      <w:pPr>
        <w:ind w:left="-851"/>
        <w:jc w:val="both"/>
      </w:pPr>
    </w:p>
    <w:p w14:paraId="5DF760F1" w14:textId="15CE5EF1" w:rsidR="00071644" w:rsidRPr="00071644" w:rsidRDefault="00071644" w:rsidP="00DE68B0">
      <w:pPr>
        <w:ind w:left="-851"/>
        <w:jc w:val="both"/>
      </w:pPr>
      <w:r w:rsidRPr="00071644">
        <w:t xml:space="preserve">По сведениям, полученным из открытых источников и материалов СМИ, Министерством цифрового развития, связи и массовых коммуникаций Российской Федерации подготовлен и </w:t>
      </w:r>
      <w:r w:rsidR="004A4627">
        <w:t xml:space="preserve">в ближайшее время </w:t>
      </w:r>
      <w:r w:rsidRPr="00071644">
        <w:t>готовится к внесению в Государственную Думу пакет законодательных и нормативных изменений под предлогом реализации Стратегии развития отрасли связи Российской Федерации на период до 2035 года (утв. распоряжением Правительства РФ от 24.11.2023 № 3339-р).</w:t>
      </w:r>
    </w:p>
    <w:p w14:paraId="764EF103" w14:textId="77777777" w:rsidR="00071644" w:rsidRPr="00071644" w:rsidRDefault="00071644" w:rsidP="00DE68B0">
      <w:pPr>
        <w:ind w:left="-851"/>
        <w:jc w:val="both"/>
      </w:pPr>
      <w:r w:rsidRPr="00071644">
        <w:t xml:space="preserve">По имеющимся у нас материалам и результатам их анализа в рамках обсуждаемых законодательных и подзаконных изменений формируется модель, которая под видом реформирования отрасли связи может привести к </w:t>
      </w:r>
      <w:r w:rsidR="004A4627">
        <w:t>монополиз</w:t>
      </w:r>
      <w:r w:rsidRPr="00071644">
        <w:t>ации рынка в пользу ограниченного круга крупнейших операторов связи.</w:t>
      </w:r>
    </w:p>
    <w:p w14:paraId="4D80FCC5" w14:textId="77777777" w:rsidR="00071644" w:rsidRPr="00071644" w:rsidRDefault="00071644" w:rsidP="00DE68B0">
      <w:pPr>
        <w:ind w:left="-851"/>
        <w:jc w:val="both"/>
      </w:pPr>
      <w:r w:rsidRPr="00071644">
        <w:t>Речь идёт о подходе, при котором АО «ЭР-Телеком Холдинг», ПАО «Ростелеком», ПАО «МегаФон», ПАО «МТС» и ПАО «ВымпелКом» получают привилегированное положение системообразующих операторов, а остальные участники рынка ставятся в зависимость от обязательных договорных отношений с ними и от новых лицензионных, капитальных, инфраструктурных и финансовых требований, недостижимых для малого и значительной части среднего бизнеса.</w:t>
      </w:r>
    </w:p>
    <w:p w14:paraId="686DF4FE" w14:textId="58266EBD" w:rsidR="00071644" w:rsidRDefault="00071644" w:rsidP="004A26AA">
      <w:pPr>
        <w:ind w:left="-851" w:firstLine="0"/>
        <w:jc w:val="center"/>
        <w:rPr>
          <w:b/>
        </w:rPr>
      </w:pPr>
      <w:r w:rsidRPr="00071644">
        <w:rPr>
          <w:b/>
        </w:rPr>
        <w:t>Ключевые элементы предлагаемой реформы:</w:t>
      </w:r>
    </w:p>
    <w:p w14:paraId="55732D83" w14:textId="77777777" w:rsidR="004A26AA" w:rsidRPr="00071644" w:rsidRDefault="004A26AA" w:rsidP="004A26AA">
      <w:pPr>
        <w:ind w:left="-851" w:firstLine="0"/>
        <w:jc w:val="center"/>
      </w:pPr>
    </w:p>
    <w:p w14:paraId="5D5CB5E6" w14:textId="77777777" w:rsidR="00071644" w:rsidRPr="00071644" w:rsidRDefault="00071644" w:rsidP="00DE68B0">
      <w:pPr>
        <w:numPr>
          <w:ilvl w:val="0"/>
          <w:numId w:val="1"/>
        </w:numPr>
        <w:ind w:left="-284"/>
        <w:jc w:val="both"/>
      </w:pPr>
      <w:r w:rsidRPr="00071644">
        <w:rPr>
          <w:b/>
        </w:rPr>
        <w:t>Институт «системообразующих операторов связи»:</w:t>
      </w:r>
      <w:r w:rsidRPr="00071644">
        <w:t> пять крупнейших операторов получают особый статус, а все прочие обязаны заключить с одним из них договор до 31 декабря 2026 года. При отсутствии договора он заключается автоматически.</w:t>
      </w:r>
    </w:p>
    <w:p w14:paraId="48BB1B89" w14:textId="77777777" w:rsidR="00071644" w:rsidRPr="00071644" w:rsidRDefault="00071644" w:rsidP="00DE68B0">
      <w:pPr>
        <w:numPr>
          <w:ilvl w:val="0"/>
          <w:numId w:val="1"/>
        </w:numPr>
        <w:ind w:left="-284"/>
        <w:jc w:val="both"/>
      </w:pPr>
      <w:r w:rsidRPr="00071644">
        <w:rPr>
          <w:b/>
        </w:rPr>
        <w:t>Принудительная передача сетей и абонентов:</w:t>
      </w:r>
      <w:r w:rsidR="004A4627">
        <w:t xml:space="preserve"> </w:t>
      </w:r>
      <w:r w:rsidRPr="00071644">
        <w:t>при утрате лицензии сеть и абоненты оператора автоматически переходят под управление системообразующего оператора; бывший владелец получает лишь компенсацию эксплуатационных затрат по формуле Правительства.</w:t>
      </w:r>
    </w:p>
    <w:p w14:paraId="4D1C2E96" w14:textId="77777777" w:rsidR="00071644" w:rsidRPr="00071644" w:rsidRDefault="00071644" w:rsidP="00DE68B0">
      <w:pPr>
        <w:numPr>
          <w:ilvl w:val="0"/>
          <w:numId w:val="1"/>
        </w:numPr>
        <w:ind w:left="-284"/>
        <w:jc w:val="both"/>
      </w:pPr>
      <w:r w:rsidRPr="00071644">
        <w:rPr>
          <w:b/>
        </w:rPr>
        <w:lastRenderedPageBreak/>
        <w:t>Новая система лицензирования</w:t>
      </w:r>
      <w:r w:rsidR="004A4627">
        <w:t xml:space="preserve"> </w:t>
      </w:r>
      <w:r w:rsidRPr="00071644">
        <w:t xml:space="preserve">с требованиями к уставному капиталу от 100 млн до 1 млрд рублей и государственными пошлинами </w:t>
      </w:r>
      <w:r w:rsidR="004A4627">
        <w:t xml:space="preserve">от 10 </w:t>
      </w:r>
      <w:r w:rsidRPr="00071644">
        <w:t>до 50 млн рублей – для подавляющего большинства действующих операторов заведомо недостижимыми.</w:t>
      </w:r>
    </w:p>
    <w:p w14:paraId="4D3405D6" w14:textId="77777777" w:rsidR="00071644" w:rsidRPr="00071644" w:rsidRDefault="00071644" w:rsidP="00DE68B0">
      <w:pPr>
        <w:numPr>
          <w:ilvl w:val="0"/>
          <w:numId w:val="1"/>
        </w:numPr>
        <w:ind w:left="-284"/>
        <w:jc w:val="both"/>
      </w:pPr>
      <w:r w:rsidRPr="00071644">
        <w:rPr>
          <w:b/>
        </w:rPr>
        <w:t>Повышение минимального взноса</w:t>
      </w:r>
      <w:r w:rsidR="004A4627">
        <w:t xml:space="preserve"> </w:t>
      </w:r>
      <w:r w:rsidRPr="00071644">
        <w:t>в резерв универсального обслуживания до 10 млн рублей в год, что фактически устанавливает минимальный порог годовой выручки оператора в 500 млн рублей.</w:t>
      </w:r>
    </w:p>
    <w:p w14:paraId="5FD0B84F" w14:textId="77777777" w:rsidR="00071644" w:rsidRPr="00071644" w:rsidRDefault="00071644" w:rsidP="00DE68B0">
      <w:pPr>
        <w:numPr>
          <w:ilvl w:val="0"/>
          <w:numId w:val="1"/>
        </w:numPr>
        <w:ind w:left="-284"/>
        <w:jc w:val="both"/>
      </w:pPr>
      <w:r w:rsidRPr="00071644">
        <w:t>Закон планируется к </w:t>
      </w:r>
      <w:r w:rsidRPr="00071644">
        <w:rPr>
          <w:b/>
        </w:rPr>
        <w:t>вступлению в силу с 1 сентября 2026 года</w:t>
      </w:r>
      <w:r w:rsidRPr="00071644">
        <w:t>; с 1 января 2028 года работа по ранее выданным лицензиям прекращается.</w:t>
      </w:r>
    </w:p>
    <w:p w14:paraId="653B992C" w14:textId="77777777" w:rsidR="00071644" w:rsidRDefault="00071644" w:rsidP="00DE68B0">
      <w:pPr>
        <w:ind w:left="-851"/>
        <w:jc w:val="both"/>
      </w:pPr>
      <w:r w:rsidRPr="00071644">
        <w:t>Опасность заключается не в одном отдельном нововведении, а в их совокупности: создаётся привилегированный круг участников рынка; для остальных вводятся обязательные договорные зависимости; резко повышаются требования к капиталу, покрытию, госпошлинам и обязательным отчислениям; расширяются основания для отказа, непродления и аннулирования лицензий; обсуждаются механизмы перехода абонентов, обслуживания сетей и фактического контроля над ними к системообразующим операторам. В результате деятельность малого и регионального телеком-бизнеса становится не просто затруднённой, а экономически и юридически практически невозможной.</w:t>
      </w:r>
    </w:p>
    <w:p w14:paraId="3A700B18" w14:textId="77777777" w:rsidR="00071644" w:rsidRPr="00071644" w:rsidRDefault="00071644" w:rsidP="00DE68B0">
      <w:pPr>
        <w:ind w:left="-851"/>
        <w:jc w:val="both"/>
      </w:pPr>
    </w:p>
    <w:p w14:paraId="776676F3" w14:textId="77777777" w:rsidR="00071644" w:rsidRPr="00071644" w:rsidRDefault="00071644" w:rsidP="004A26AA">
      <w:pPr>
        <w:ind w:left="-851" w:firstLine="0"/>
        <w:jc w:val="center"/>
        <w:rPr>
          <w:b/>
        </w:rPr>
      </w:pPr>
      <w:r w:rsidRPr="00071644">
        <w:rPr>
          <w:b/>
        </w:rPr>
        <w:t>II. Противоречие законодательству и государственным приоритетам</w:t>
      </w:r>
    </w:p>
    <w:p w14:paraId="176716D6" w14:textId="77777777" w:rsidR="008C047A" w:rsidRDefault="008C047A" w:rsidP="00DE68B0">
      <w:pPr>
        <w:ind w:left="-851"/>
        <w:jc w:val="both"/>
      </w:pPr>
    </w:p>
    <w:p w14:paraId="30EE4350" w14:textId="5DE438E2" w:rsidR="00071644" w:rsidRPr="00071644" w:rsidRDefault="00071644" w:rsidP="00DE68B0">
      <w:pPr>
        <w:ind w:left="-851"/>
        <w:jc w:val="both"/>
      </w:pPr>
      <w:r w:rsidRPr="00071644">
        <w:t>Предлагаемые изменения прямо противоречат основополагающим нормам российского права и государственным стратегическим приоритетам.</w:t>
      </w:r>
    </w:p>
    <w:p w14:paraId="3F99116E" w14:textId="77777777" w:rsidR="00071644" w:rsidRPr="00071644" w:rsidRDefault="00071644" w:rsidP="00DE68B0">
      <w:pPr>
        <w:ind w:left="-851"/>
        <w:jc w:val="both"/>
      </w:pPr>
      <w:r w:rsidRPr="00071644">
        <w:t>Статья 5 Федерального закона «О связи» № 126-ФЗ прямо устанавливает, что организации связи «осуществляют свою деятельность в условиях конкуренции и многообразия форм собственности», а «государство обеспечивает организациям связи независимо от форм собственности равные условия конкуренции». Предлагаемая модель системообразующих операторов этот принцип полностью уничтожает.</w:t>
      </w:r>
    </w:p>
    <w:p w14:paraId="6E3E79BB" w14:textId="77777777" w:rsidR="00071644" w:rsidRPr="00071644" w:rsidRDefault="00071644" w:rsidP="00DE68B0">
      <w:pPr>
        <w:ind w:left="-851"/>
        <w:jc w:val="both"/>
      </w:pPr>
      <w:r w:rsidRPr="00071644">
        <w:t>Стратегия развития отрасли связи до 2035 года ставит целью повышение качества и доступности услуг, стимулирование инвестиций и технологическое развитие. Принудительное поглощение малых операторов, передача их активов и устранение конкуренции не развивают отрасль – они лишь временно улучшают корпоративную отчётность узкого круга структур, не инвестируя в инфраструктуру.</w:t>
      </w:r>
    </w:p>
    <w:p w14:paraId="6DD0F3CA" w14:textId="77777777" w:rsidR="00071644" w:rsidRPr="00071644" w:rsidRDefault="00071644" w:rsidP="00DE68B0">
      <w:pPr>
        <w:ind w:left="-851"/>
        <w:jc w:val="both"/>
      </w:pPr>
      <w:r w:rsidRPr="00071644">
        <w:t>Принципы административной реформы, проводимой Правительством Российской Федерации, направлены на снижение регуляторной нагрузки и устранение избыточных барьеров. Введение пошлин в десятки миллионов рублей и требований к капиталу в сотни миллионов – прямое отрицание этих принципов.</w:t>
      </w:r>
    </w:p>
    <w:p w14:paraId="04258C24" w14:textId="77777777" w:rsidR="00071644" w:rsidRDefault="00071644" w:rsidP="00DE68B0">
      <w:pPr>
        <w:ind w:left="-851"/>
        <w:jc w:val="both"/>
      </w:pPr>
      <w:r w:rsidRPr="00071644">
        <w:t>Полагаем, что мотивация, с которой данная реформа продвигается Министерством цифрового развития, не отражает интересы отрасли и страны в целом, а отвечает интересам весьма ограниченного круга крупных коммерческих структур.</w:t>
      </w:r>
    </w:p>
    <w:p w14:paraId="2F7DE904" w14:textId="77777777" w:rsidR="00071644" w:rsidRPr="00071644" w:rsidRDefault="00071644" w:rsidP="00DE68B0">
      <w:pPr>
        <w:ind w:left="-851"/>
        <w:jc w:val="both"/>
      </w:pPr>
    </w:p>
    <w:p w14:paraId="0C61112D" w14:textId="77777777" w:rsidR="00071644" w:rsidRPr="00071644" w:rsidRDefault="00071644" w:rsidP="00DE68B0">
      <w:pPr>
        <w:ind w:left="-851"/>
        <w:jc w:val="center"/>
        <w:rPr>
          <w:b/>
        </w:rPr>
      </w:pPr>
      <w:r w:rsidRPr="00071644">
        <w:rPr>
          <w:b/>
        </w:rPr>
        <w:t>III. Последствия для отрасли, экономики, безопасности и смежных отраслей</w:t>
      </w:r>
    </w:p>
    <w:p w14:paraId="02DCB335" w14:textId="77777777" w:rsidR="00071644" w:rsidRPr="00071644" w:rsidRDefault="00071644" w:rsidP="00DE68B0">
      <w:pPr>
        <w:ind w:left="-851"/>
        <w:jc w:val="both"/>
      </w:pPr>
      <w:r w:rsidRPr="00071644">
        <w:t>Принятие предлагаемых изменений нанесёт необратимый ущерб по нескольким критически важным направлениям.</w:t>
      </w:r>
    </w:p>
    <w:p w14:paraId="40245432" w14:textId="77777777" w:rsidR="004A26AA" w:rsidRDefault="00071644" w:rsidP="00DE68B0">
      <w:pPr>
        <w:ind w:left="-851"/>
        <w:jc w:val="both"/>
      </w:pPr>
      <w:r w:rsidRPr="00071644">
        <w:rPr>
          <w:b/>
        </w:rPr>
        <w:t>Занятость и региональная экономика.</w:t>
      </w:r>
      <w:r w:rsidRPr="00071644">
        <w:t xml:space="preserve"> Согласно собранным данным, под риском находятся 15 281 рабочее место у операторов связи с годовой выручкой до 50 млн рублей и ещё 32 875 рабочих мест у операторов с выручкой от 50 до 500 млн рублей. </w:t>
      </w:r>
    </w:p>
    <w:p w14:paraId="67D3B325" w14:textId="2FE35AEF" w:rsidR="00071644" w:rsidRDefault="00071644" w:rsidP="00DE68B0">
      <w:pPr>
        <w:ind w:left="-851"/>
        <w:jc w:val="both"/>
      </w:pPr>
      <w:r w:rsidRPr="00071644">
        <w:t>Таким образом, при реализации обсуждаемых подходов под угрозой оказывается до 50 тысяч рабочих мест. В случае повышения порога выручки до 500 млн рублей рынок может быть сжат до нескольких десятков компаний, то есть фактически лишён нормальной конкурентной среды. Речь идёт о квалифицированных технических кадрах в регионах, которые непросто переобучить и переориентировать.</w:t>
      </w:r>
    </w:p>
    <w:p w14:paraId="0B2B94ED" w14:textId="77777777" w:rsidR="002F5A83" w:rsidRPr="00071644" w:rsidRDefault="002F5A83" w:rsidP="004A26AA">
      <w:pPr>
        <w:ind w:left="-851" w:firstLine="709"/>
        <w:jc w:val="both"/>
      </w:pPr>
      <w:r w:rsidRPr="00071644">
        <w:lastRenderedPageBreak/>
        <w:t>Данные о занятости в секторе малых операторов связи</w:t>
      </w:r>
      <w:r>
        <w:t xml:space="preserve"> см. </w:t>
      </w:r>
      <w:r w:rsidRPr="002F5A83">
        <w:rPr>
          <w:b/>
        </w:rPr>
        <w:t>здесь</w:t>
      </w:r>
      <w:r>
        <w:t xml:space="preserve"> </w:t>
      </w:r>
      <w:hyperlink r:id="rId6" w:history="1">
        <w:r w:rsidRPr="00B52BAD">
          <w:rPr>
            <w:rStyle w:val="a3"/>
          </w:rPr>
          <w:t>https://docs.google.com/spreadsheets/d/1n8UM7Cc4HJmXf6T7wzjxVsDJqhuJADD3p7HRNoJkBak/edit?usp=drivesdk</w:t>
        </w:r>
      </w:hyperlink>
      <w:r>
        <w:t xml:space="preserve"> </w:t>
      </w:r>
      <w:r w:rsidRPr="00071644">
        <w:t>.</w:t>
      </w:r>
    </w:p>
    <w:p w14:paraId="5702A147" w14:textId="77777777" w:rsidR="002B66E0" w:rsidRDefault="002B66E0" w:rsidP="00DE68B0">
      <w:pPr>
        <w:ind w:left="-851"/>
        <w:jc w:val="both"/>
        <w:rPr>
          <w:b/>
        </w:rPr>
      </w:pPr>
    </w:p>
    <w:p w14:paraId="3F8C89CE" w14:textId="10998ED3" w:rsidR="00071644" w:rsidRPr="00071644" w:rsidRDefault="00071644" w:rsidP="00DE68B0">
      <w:pPr>
        <w:ind w:left="-851"/>
        <w:jc w:val="both"/>
      </w:pPr>
      <w:r w:rsidRPr="00071644">
        <w:rPr>
          <w:b/>
        </w:rPr>
        <w:t>Наиболее тяжёлый удар</w:t>
      </w:r>
      <w:r w:rsidR="004A26AA">
        <w:t xml:space="preserve"> </w:t>
      </w:r>
      <w:r w:rsidRPr="00071644">
        <w:t>придётся по региональным и муниципальным операторам, особенно работающим в частном секторе и на территориях, где требования, привязанные к доле охвата многоквартирных домов, объективно невыполнимы. Это приведёт не к развитию отрасли, а к уходу с рынка тех участников, которые годами обеспечивали связь на местах, создавали рабочие места, инвестировали в локальную инфраструктуру и поддерживали доступность услуг для граждан.</w:t>
      </w:r>
    </w:p>
    <w:p w14:paraId="0D8F7BE1" w14:textId="77777777" w:rsidR="00071644" w:rsidRPr="00071644" w:rsidRDefault="00071644" w:rsidP="00DE68B0">
      <w:pPr>
        <w:ind w:left="-851"/>
        <w:jc w:val="both"/>
      </w:pPr>
      <w:r w:rsidRPr="00071644">
        <w:rPr>
          <w:b/>
        </w:rPr>
        <w:t>Качество услуг и тарифы для граждан.</w:t>
      </w:r>
      <w:r w:rsidRPr="00071644">
        <w:t> Малые операторы исторически обеспечивают доступ к связи в районах, куда крупные игроки не заходят из-за нерентабельности. Их устранение лишит часть населения конкурентного выбора, неизбежно повысит тарифы и ухудшит качество обслуживания.</w:t>
      </w:r>
    </w:p>
    <w:p w14:paraId="54902A9F" w14:textId="77777777" w:rsidR="00071644" w:rsidRPr="00071644" w:rsidRDefault="00071644" w:rsidP="00DE68B0">
      <w:pPr>
        <w:ind w:left="-851"/>
        <w:jc w:val="both"/>
      </w:pPr>
      <w:r w:rsidRPr="00071644">
        <w:rPr>
          <w:b/>
        </w:rPr>
        <w:t>Кибербезопасность и устойчивость Сети Связи Общего Пользования.</w:t>
      </w:r>
      <w:r w:rsidRPr="00071644">
        <w:t> </w:t>
      </w:r>
      <w:proofErr w:type="spellStart"/>
      <w:r w:rsidRPr="00071644">
        <w:t>Сверхконцентрация</w:t>
      </w:r>
      <w:proofErr w:type="spellEnd"/>
      <w:r w:rsidRPr="00071644">
        <w:t xml:space="preserve"> рынка создаёт технологические риски. Чем меньше независимых операторов, маршрутов передачи данных и центров управления сетями, тем выше системная значимость каждой точки отказа и тем тяжелее последствия любой аварии, ошибки или внешнего воздействия. Децентрализованная архитектура российского сегмента интернета – это его фундаментальное преимущество с точки зрения безопасности. Множество независимых операторов обеспечивает множество независимых центров управления сетями и маршрутов передачи трафика. Концентрация управления инфраструктурой в руках 5 операторов (фактически – до 30 по замыслу) резко увеличивает уязвимость к </w:t>
      </w:r>
      <w:proofErr w:type="spellStart"/>
      <w:r w:rsidRPr="00071644">
        <w:t>DDoS</w:t>
      </w:r>
      <w:proofErr w:type="spellEnd"/>
      <w:r w:rsidRPr="00071644">
        <w:t>-атакам и целенаправленным кибератакам со стороны недружественных государств. Для страны с масштабной территорией и распределённой инфраструктурой децентрализация является фактором устойчивости, а не препятствием для развития.</w:t>
      </w:r>
    </w:p>
    <w:p w14:paraId="39C00555" w14:textId="77777777" w:rsidR="00071644" w:rsidRPr="00071644" w:rsidRDefault="00071644" w:rsidP="00DE68B0">
      <w:pPr>
        <w:ind w:left="-851"/>
        <w:jc w:val="both"/>
      </w:pPr>
      <w:r w:rsidRPr="00071644">
        <w:rPr>
          <w:b/>
        </w:rPr>
        <w:t>Смежные отрасли и технологический суверенитет.</w:t>
      </w:r>
      <w:r w:rsidRPr="00071644">
        <w:t xml:space="preserve"> Отдельно обращаем внимание, что последствия затронут не только самих операторов связи. Резкое сокращение числа независимых операторов неизбежно ударит по поставщикам и производителям оборудования, телевизионным сервисам (включая IPTV), вещателям, для которых независимые операторы являются каналом доставки сигнала общедоступных обязательных телеканалов и аудитории, а также по разработчикам программного обеспечения для операторов и их клиентов (биллинг, личные кабинеты, </w:t>
      </w:r>
      <w:proofErr w:type="spellStart"/>
      <w:r w:rsidRPr="00071644">
        <w:t>домофония</w:t>
      </w:r>
      <w:proofErr w:type="spellEnd"/>
      <w:r w:rsidRPr="00071644">
        <w:t>, видеонаблюдение, клиентские приложения и иные цифровые сервисы). Падение числа независимых операторов означает падение числа заказчиков, внедрений и точек роста для всей экосистемы. Это повлечёт сокращение заказов, инвестиций и рабочих мест уже далеко за пределами отрасли связи. Дополнительно это приведёт к снижению спроса на отечественное оборудование и российское программное обеспечение, то есть нанесёт удар по технологическому суверенитету страны и создаст дополнительные преимущества для внешних поставщиков.</w:t>
      </w:r>
    </w:p>
    <w:p w14:paraId="1699531E" w14:textId="77777777" w:rsidR="00071644" w:rsidRPr="00071644" w:rsidRDefault="00071644" w:rsidP="00DE68B0">
      <w:pPr>
        <w:ind w:left="-851"/>
        <w:jc w:val="both"/>
      </w:pPr>
      <w:r w:rsidRPr="00071644">
        <w:rPr>
          <w:b/>
        </w:rPr>
        <w:t>Общественная стабильность.</w:t>
      </w:r>
      <w:r w:rsidR="004A4627">
        <w:t xml:space="preserve"> </w:t>
      </w:r>
      <w:r w:rsidRPr="00071644">
        <w:t>Единовременное высвобождение десятков тысяч работников, рост тарифов и снижение качества услуг для населения неизбежно порождают социальную напряжённость – в условиях, когда стабильность является абсолютным государственным приоритетом.</w:t>
      </w:r>
    </w:p>
    <w:p w14:paraId="13165315" w14:textId="77777777" w:rsidR="00071644" w:rsidRDefault="00071644" w:rsidP="00DE68B0">
      <w:pPr>
        <w:ind w:left="-851"/>
        <w:jc w:val="both"/>
      </w:pPr>
      <w:r w:rsidRPr="00071644">
        <w:t>При этом малый и региональный бизнес, который понесёт основной ущерб от предлагаемых решений, фактически не вовлечён в равноправное обсуждение будущих правил рынка.</w:t>
      </w:r>
    </w:p>
    <w:p w14:paraId="5A7E1469" w14:textId="77777777" w:rsidR="00071644" w:rsidRDefault="00071644" w:rsidP="00DE68B0">
      <w:pPr>
        <w:ind w:left="-851"/>
        <w:jc w:val="both"/>
        <w:rPr>
          <w:b/>
        </w:rPr>
      </w:pPr>
    </w:p>
    <w:p w14:paraId="31E1DA6F" w14:textId="00CE6741" w:rsidR="00071644" w:rsidRDefault="00071644" w:rsidP="00DE68B0">
      <w:pPr>
        <w:ind w:left="-851"/>
        <w:jc w:val="both"/>
      </w:pPr>
      <w:r w:rsidRPr="00071644">
        <w:t>Руководствуясь искренней заботой о развитии и безопасности отечественной отрасли связи, а также предупреждая о риске не для одной группы предпринимателей, а для конкурентной среды, занятости, устойчивости инфраструктуры связи и развития смежных отечественных отраслей,</w:t>
      </w:r>
    </w:p>
    <w:p w14:paraId="095BD4E6" w14:textId="77777777" w:rsidR="002B66E0" w:rsidRDefault="002B66E0" w:rsidP="00DE68B0">
      <w:pPr>
        <w:ind w:left="-851"/>
        <w:jc w:val="both"/>
      </w:pPr>
    </w:p>
    <w:p w14:paraId="50613EBD" w14:textId="23033C72" w:rsidR="00071644" w:rsidRDefault="00071644" w:rsidP="002B66E0">
      <w:pPr>
        <w:ind w:left="-851"/>
        <w:jc w:val="center"/>
        <w:rPr>
          <w:b/>
          <w:bCs w:val="0"/>
        </w:rPr>
      </w:pPr>
      <w:r w:rsidRPr="00071644">
        <w:rPr>
          <w:b/>
          <w:bCs w:val="0"/>
        </w:rPr>
        <w:t>П</w:t>
      </w:r>
      <w:r>
        <w:rPr>
          <w:b/>
          <w:bCs w:val="0"/>
        </w:rPr>
        <w:t xml:space="preserve"> </w:t>
      </w:r>
      <w:r w:rsidRPr="00071644">
        <w:rPr>
          <w:b/>
          <w:bCs w:val="0"/>
        </w:rPr>
        <w:t>Р</w:t>
      </w:r>
      <w:r>
        <w:rPr>
          <w:b/>
          <w:bCs w:val="0"/>
        </w:rPr>
        <w:t xml:space="preserve"> </w:t>
      </w:r>
      <w:r w:rsidRPr="00071644">
        <w:rPr>
          <w:b/>
          <w:bCs w:val="0"/>
        </w:rPr>
        <w:t>О</w:t>
      </w:r>
      <w:r>
        <w:rPr>
          <w:b/>
          <w:bCs w:val="0"/>
        </w:rPr>
        <w:t xml:space="preserve"> </w:t>
      </w:r>
      <w:r w:rsidRPr="00071644">
        <w:rPr>
          <w:b/>
          <w:bCs w:val="0"/>
        </w:rPr>
        <w:t>Ш</w:t>
      </w:r>
      <w:r>
        <w:rPr>
          <w:b/>
          <w:bCs w:val="0"/>
        </w:rPr>
        <w:t xml:space="preserve"> </w:t>
      </w:r>
      <w:r w:rsidRPr="00071644">
        <w:rPr>
          <w:b/>
          <w:bCs w:val="0"/>
        </w:rPr>
        <w:t>У:</w:t>
      </w:r>
    </w:p>
    <w:p w14:paraId="4E32ABEE" w14:textId="77777777" w:rsidR="002B66E0" w:rsidRPr="00071644" w:rsidRDefault="002B66E0" w:rsidP="002B66E0">
      <w:pPr>
        <w:ind w:left="-851"/>
        <w:jc w:val="center"/>
      </w:pPr>
    </w:p>
    <w:p w14:paraId="3DB0B5A6" w14:textId="33D6B220" w:rsidR="00071644" w:rsidRDefault="00071644" w:rsidP="002B66E0">
      <w:pPr>
        <w:numPr>
          <w:ilvl w:val="0"/>
          <w:numId w:val="2"/>
        </w:numPr>
        <w:ind w:left="-426"/>
        <w:jc w:val="both"/>
      </w:pPr>
      <w:r w:rsidRPr="00071644">
        <w:rPr>
          <w:b/>
        </w:rPr>
        <w:t>Приостановить принятие</w:t>
      </w:r>
      <w:r w:rsidR="002B66E0">
        <w:t xml:space="preserve"> </w:t>
      </w:r>
      <w:r w:rsidRPr="00071644">
        <w:t xml:space="preserve">подготовленных </w:t>
      </w:r>
      <w:r w:rsidR="002B66E0">
        <w:t xml:space="preserve">рабочей группой при </w:t>
      </w:r>
      <w:proofErr w:type="spellStart"/>
      <w:r w:rsidRPr="00071644">
        <w:t>Ми</w:t>
      </w:r>
      <w:r w:rsidR="002B66E0">
        <w:t>н</w:t>
      </w:r>
      <w:r w:rsidRPr="00071644">
        <w:t>цифр</w:t>
      </w:r>
      <w:r w:rsidR="002B66E0">
        <w:t>е</w:t>
      </w:r>
      <w:proofErr w:type="spellEnd"/>
      <w:r w:rsidR="002B66E0">
        <w:t xml:space="preserve"> России </w:t>
      </w:r>
      <w:r w:rsidRPr="00071644">
        <w:t>изменений в Федеральный закон «О связи» и связанных нормативных актов до проведения открытого публичного обсуждения, полноценной оценки регулирующего воздействия, анализа социально-</w:t>
      </w:r>
      <w:r w:rsidRPr="00071644">
        <w:lastRenderedPageBreak/>
        <w:t>экономических последствий, технологических рисков и независимой экспертизы их последствий для конкуренции, занятости и кибербезопасности.</w:t>
      </w:r>
    </w:p>
    <w:p w14:paraId="4E7C4486" w14:textId="77777777" w:rsidR="002B66E0" w:rsidRPr="00071644" w:rsidRDefault="002B66E0" w:rsidP="002B66E0">
      <w:pPr>
        <w:ind w:left="-426" w:firstLine="0"/>
        <w:jc w:val="both"/>
      </w:pPr>
    </w:p>
    <w:p w14:paraId="3F3564BE" w14:textId="105DACCA" w:rsidR="00071644" w:rsidRDefault="00071644" w:rsidP="002B66E0">
      <w:pPr>
        <w:numPr>
          <w:ilvl w:val="0"/>
          <w:numId w:val="2"/>
        </w:numPr>
        <w:ind w:left="-426"/>
        <w:jc w:val="both"/>
      </w:pPr>
      <w:r w:rsidRPr="00071644">
        <w:rPr>
          <w:b/>
        </w:rPr>
        <w:t>Организовать правовую, антимонопольную и прокурорскую оценку</w:t>
      </w:r>
      <w:r w:rsidR="004A4627">
        <w:t xml:space="preserve"> </w:t>
      </w:r>
      <w:r w:rsidRPr="00071644">
        <w:t>изложенных обстоятельств, дать оценку соответствию предлагаемых решений принципам конкуренции, равенства участников рынка и недопустимости создания необоснованных преимуществ отдельным хозяйствующим субъектам, а также </w:t>
      </w:r>
      <w:r w:rsidRPr="00071644">
        <w:rPr>
          <w:b/>
        </w:rPr>
        <w:t>проверить деятельность</w:t>
      </w:r>
      <w:r w:rsidRPr="00071644">
        <w:t> Министерства цифрового развития в части подготовки данных изменений на предмет соответствия антикоррупционному законодательству, принципам противодействия конфликту интересов и требованиям добросовестного государственного управления.</w:t>
      </w:r>
    </w:p>
    <w:p w14:paraId="74BA6845" w14:textId="77777777" w:rsidR="002B66E0" w:rsidRPr="00071644" w:rsidRDefault="002B66E0" w:rsidP="002B66E0">
      <w:pPr>
        <w:ind w:firstLine="0"/>
        <w:jc w:val="both"/>
      </w:pPr>
    </w:p>
    <w:p w14:paraId="7E6692C7" w14:textId="426F3C20" w:rsidR="00071644" w:rsidRDefault="00071644" w:rsidP="002B66E0">
      <w:pPr>
        <w:numPr>
          <w:ilvl w:val="0"/>
          <w:numId w:val="2"/>
        </w:numPr>
        <w:ind w:left="-426"/>
        <w:jc w:val="both"/>
      </w:pPr>
      <w:r w:rsidRPr="00071644">
        <w:rPr>
          <w:b/>
        </w:rPr>
        <w:t>Дать поручение рассмотреть альтернативные механизмы</w:t>
      </w:r>
      <w:r w:rsidRPr="00071644">
        <w:t> модернизации отрасли связи, которые позволят решать государственные задачи без уничтожения малого и регионального телеком-бизнеса.</w:t>
      </w:r>
    </w:p>
    <w:p w14:paraId="40628193" w14:textId="77777777" w:rsidR="002B66E0" w:rsidRPr="00071644" w:rsidRDefault="002B66E0" w:rsidP="002B66E0">
      <w:pPr>
        <w:ind w:firstLine="0"/>
        <w:jc w:val="both"/>
      </w:pPr>
    </w:p>
    <w:p w14:paraId="4019E09E" w14:textId="1E829580" w:rsidR="00071644" w:rsidRDefault="00071644" w:rsidP="002B66E0">
      <w:pPr>
        <w:numPr>
          <w:ilvl w:val="0"/>
          <w:numId w:val="2"/>
        </w:numPr>
        <w:ind w:left="-426"/>
        <w:jc w:val="both"/>
      </w:pPr>
      <w:r w:rsidRPr="00071644">
        <w:rPr>
          <w:b/>
        </w:rPr>
        <w:t>Включить представителей ассоциаций</w:t>
      </w:r>
      <w:r w:rsidR="00855824">
        <w:rPr>
          <w:b/>
        </w:rPr>
        <w:t xml:space="preserve"> </w:t>
      </w:r>
      <w:r w:rsidR="002B66E0">
        <w:rPr>
          <w:b/>
        </w:rPr>
        <w:t xml:space="preserve">малых </w:t>
      </w:r>
      <w:r w:rsidR="00855824">
        <w:rPr>
          <w:b/>
        </w:rPr>
        <w:t xml:space="preserve">Операторов связи </w:t>
      </w:r>
      <w:r w:rsidRPr="00071644">
        <w:t xml:space="preserve">в рабочую группу по реализации Стратегии развития отрасли связи Российской Федерации на период до 2035 года и по обсуждению соответствующих проектов нормативных правовых актов. </w:t>
      </w:r>
      <w:r w:rsidR="004A4627">
        <w:t>(</w:t>
      </w:r>
      <w:r w:rsidRPr="00071644">
        <w:t xml:space="preserve">Стратегический документ затрагивает интересы тысяч компаний и десятков миллионов граждан – его реализация </w:t>
      </w:r>
      <w:r w:rsidR="004A4627">
        <w:t xml:space="preserve">ложится в концепцию </w:t>
      </w:r>
      <w:r w:rsidR="004A4627" w:rsidRPr="004A4627">
        <w:t>Распоряжени</w:t>
      </w:r>
      <w:r w:rsidR="004A4627">
        <w:t>я</w:t>
      </w:r>
      <w:r w:rsidR="004A4627" w:rsidRPr="004A4627">
        <w:t xml:space="preserve"> Правительства РФ от 2 июня 2016 г. № 1083-р О Стратегии развития малого и среднего предпринимательства в РФ на период до 2030 г.</w:t>
      </w:r>
      <w:r w:rsidR="004A4627">
        <w:t>)</w:t>
      </w:r>
      <w:r w:rsidRPr="00071644">
        <w:t>.</w:t>
      </w:r>
    </w:p>
    <w:p w14:paraId="3BCADED9" w14:textId="77777777" w:rsidR="00071644" w:rsidRPr="00071644" w:rsidRDefault="00071644" w:rsidP="00DE68B0">
      <w:pPr>
        <w:ind w:left="-851"/>
        <w:jc w:val="both"/>
      </w:pPr>
    </w:p>
    <w:p w14:paraId="70D3EF50" w14:textId="3C0E905A" w:rsidR="00071644" w:rsidRPr="00071644" w:rsidRDefault="00071644" w:rsidP="00DE68B0">
      <w:pPr>
        <w:ind w:left="-851"/>
        <w:jc w:val="both"/>
      </w:pPr>
      <w:r w:rsidRPr="00071644">
        <w:t xml:space="preserve">Просим рассматривать данное обращение как предупреждение о риске для </w:t>
      </w:r>
      <w:r w:rsidR="002B66E0">
        <w:t xml:space="preserve">безопасности и </w:t>
      </w:r>
      <w:r w:rsidR="002B66E0" w:rsidRPr="00071644">
        <w:t xml:space="preserve">устойчивости инфраструктуры связи </w:t>
      </w:r>
      <w:r w:rsidRPr="00071644">
        <w:t>конкурентной среды, занятости, и развития смежных отечественных отраслей.</w:t>
      </w:r>
    </w:p>
    <w:p w14:paraId="0D90D104" w14:textId="77777777" w:rsidR="00071644" w:rsidRPr="00071644" w:rsidRDefault="00B64CEB" w:rsidP="00DE68B0">
      <w:pPr>
        <w:ind w:left="-851"/>
        <w:jc w:val="both"/>
      </w:pPr>
      <w:r>
        <w:t xml:space="preserve">Все малые и средние Операторы связи </w:t>
      </w:r>
      <w:r w:rsidR="00071644" w:rsidRPr="00071644">
        <w:t>готовы к конструктивному диалогу и предоставлению исчерпывающей доказательной базы. Мы убеждены: сильная, конкурентная, разнообразная сеть связи – это не только экономический, но и стратегический, оборонный актив России. Её намеренное ослабление в интересах узкой группы структур недопустимо.</w:t>
      </w:r>
    </w:p>
    <w:p w14:paraId="07AF5129" w14:textId="77777777" w:rsidR="00071644" w:rsidRDefault="00071644" w:rsidP="00DE68B0">
      <w:pPr>
        <w:ind w:left="-851"/>
        <w:jc w:val="both"/>
      </w:pPr>
      <w:r w:rsidRPr="00071644">
        <w:t>С уважением и надеждой на защиту интересов российского бизнеса и граждан,</w:t>
      </w:r>
    </w:p>
    <w:p w14:paraId="4CB972AD" w14:textId="77777777" w:rsidR="00B53D7A" w:rsidRDefault="00B53D7A" w:rsidP="00DE68B0">
      <w:pPr>
        <w:ind w:left="-851"/>
        <w:jc w:val="both"/>
        <w:rPr>
          <w:b/>
        </w:rPr>
      </w:pPr>
    </w:p>
    <w:p w14:paraId="72390842" w14:textId="58C59739" w:rsidR="00071644" w:rsidRPr="00071644" w:rsidRDefault="00071644" w:rsidP="00DE68B0">
      <w:pPr>
        <w:ind w:left="-851"/>
        <w:jc w:val="both"/>
      </w:pPr>
      <w:r w:rsidRPr="00071644">
        <w:rPr>
          <w:b/>
        </w:rPr>
        <w:t>Приложени</w:t>
      </w:r>
      <w:r w:rsidR="002B66E0">
        <w:rPr>
          <w:b/>
        </w:rPr>
        <w:t>е</w:t>
      </w:r>
      <w:r w:rsidRPr="00071644">
        <w:rPr>
          <w:b/>
        </w:rPr>
        <w:t>:</w:t>
      </w:r>
    </w:p>
    <w:p w14:paraId="10FECD3B" w14:textId="77777777" w:rsidR="00071644" w:rsidRPr="00071644" w:rsidRDefault="00071644" w:rsidP="002B66E0">
      <w:pPr>
        <w:numPr>
          <w:ilvl w:val="0"/>
          <w:numId w:val="3"/>
        </w:numPr>
        <w:ind w:left="-426"/>
        <w:jc w:val="both"/>
      </w:pPr>
      <w:r w:rsidRPr="00071644">
        <w:t xml:space="preserve">Презентация «Регуляторные предложения по реформированию отрасли связи в РФ» к заседанию рабочей группы при </w:t>
      </w:r>
      <w:proofErr w:type="spellStart"/>
      <w:r w:rsidRPr="00071644">
        <w:t>Минцифры</w:t>
      </w:r>
      <w:proofErr w:type="spellEnd"/>
      <w:r w:rsidRPr="00071644">
        <w:t xml:space="preserve"> 10.04.2026 г.</w:t>
      </w:r>
    </w:p>
    <w:p w14:paraId="1A1410A6" w14:textId="77777777" w:rsidR="00071644" w:rsidRPr="00071644" w:rsidRDefault="00071644" w:rsidP="002B66E0">
      <w:pPr>
        <w:numPr>
          <w:ilvl w:val="0"/>
          <w:numId w:val="3"/>
        </w:numPr>
        <w:ind w:left="-426"/>
        <w:jc w:val="both"/>
      </w:pPr>
      <w:r w:rsidRPr="00071644">
        <w:t>Обобщённые материалы, полученные от участников обсуждения (в т.ч. материалы от участников рабочей группы).</w:t>
      </w:r>
    </w:p>
    <w:p w14:paraId="0ECF7D56" w14:textId="77777777" w:rsidR="00071644" w:rsidRPr="00071644" w:rsidRDefault="00071644" w:rsidP="002B66E0">
      <w:pPr>
        <w:numPr>
          <w:ilvl w:val="0"/>
          <w:numId w:val="3"/>
        </w:numPr>
        <w:ind w:left="-426"/>
        <w:jc w:val="both"/>
      </w:pPr>
      <w:r w:rsidRPr="00071644">
        <w:t>Подробный аналитический отчёт по предлагаемым нормативным изменениям (правовой анализ предлагаемых нормативных актов).</w:t>
      </w:r>
    </w:p>
    <w:p w14:paraId="1BD2825C" w14:textId="41C5FAFF" w:rsidR="00DE68B0" w:rsidRDefault="00D34BE0" w:rsidP="002B66E0">
      <w:pPr>
        <w:numPr>
          <w:ilvl w:val="0"/>
          <w:numId w:val="3"/>
        </w:numPr>
        <w:ind w:left="-426"/>
        <w:jc w:val="both"/>
      </w:pPr>
      <w:r>
        <w:t>Ин</w:t>
      </w:r>
      <w:r w:rsidRPr="00D34BE0">
        <w:t>ициатив</w:t>
      </w:r>
      <w:r>
        <w:t>ы</w:t>
      </w:r>
      <w:r w:rsidRPr="00D34BE0">
        <w:t xml:space="preserve"> операторов связи по реализации Стратегии развития отрасли связи</w:t>
      </w:r>
      <w:r>
        <w:t xml:space="preserve">                  </w:t>
      </w:r>
      <w:proofErr w:type="gramStart"/>
      <w:r>
        <w:t xml:space="preserve">   (</w:t>
      </w:r>
      <w:proofErr w:type="gramEnd"/>
      <w:r w:rsidR="002B66E0">
        <w:t>М</w:t>
      </w:r>
      <w:r w:rsidR="00071644" w:rsidRPr="00071644">
        <w:t>атериалы</w:t>
      </w:r>
      <w:r w:rsidR="002B66E0">
        <w:t xml:space="preserve"> рабочей группы при </w:t>
      </w:r>
      <w:proofErr w:type="spellStart"/>
      <w:r w:rsidR="002B66E0" w:rsidRPr="00D34BE0">
        <w:rPr>
          <w:u w:val="single"/>
        </w:rPr>
        <w:t>Минцифр</w:t>
      </w:r>
      <w:r w:rsidRPr="00D34BE0">
        <w:rPr>
          <w:u w:val="single"/>
        </w:rPr>
        <w:t>е</w:t>
      </w:r>
      <w:proofErr w:type="spellEnd"/>
      <w:r w:rsidRPr="00D34BE0">
        <w:rPr>
          <w:u w:val="single"/>
        </w:rPr>
        <w:t xml:space="preserve"> РФ</w:t>
      </w:r>
      <w:r w:rsidR="002B66E0" w:rsidRPr="00D34BE0">
        <w:rPr>
          <w:u w:val="single"/>
        </w:rPr>
        <w:t xml:space="preserve"> с указанием ФИО </w:t>
      </w:r>
      <w:r w:rsidRPr="00D34BE0">
        <w:rPr>
          <w:u w:val="single"/>
        </w:rPr>
        <w:t xml:space="preserve">её </w:t>
      </w:r>
      <w:r w:rsidR="002B66E0" w:rsidRPr="00D34BE0">
        <w:rPr>
          <w:u w:val="single"/>
        </w:rPr>
        <w:t>работников</w:t>
      </w:r>
      <w:r w:rsidR="00B3234F">
        <w:t xml:space="preserve"> </w:t>
      </w:r>
    </w:p>
    <w:p w14:paraId="28AD43A7" w14:textId="0F2865B5" w:rsidR="00071644" w:rsidRPr="00DE68B0" w:rsidRDefault="00DE68B0" w:rsidP="002B66E0">
      <w:pPr>
        <w:numPr>
          <w:ilvl w:val="0"/>
          <w:numId w:val="3"/>
        </w:numPr>
        <w:ind w:left="-426"/>
        <w:jc w:val="both"/>
      </w:pPr>
      <w:r w:rsidRPr="00DE68B0">
        <w:t>Публичные материалы, в тч</w:t>
      </w:r>
      <w:proofErr w:type="gramStart"/>
      <w:r w:rsidRPr="00DE68B0">
        <w:t>.</w:t>
      </w:r>
      <w:proofErr w:type="gramEnd"/>
      <w:r w:rsidRPr="00DE68B0">
        <w:t xml:space="preserve"> на которые ссылается обращение:</w:t>
      </w:r>
    </w:p>
    <w:p w14:paraId="68B7F4E6" w14:textId="69AC389D" w:rsidR="004A26AA" w:rsidRDefault="004A26AA" w:rsidP="00DE68B0"/>
    <w:p w14:paraId="66004A5D" w14:textId="299F40EE" w:rsidR="00924CFF" w:rsidRDefault="00BB2D3A" w:rsidP="00B3234F">
      <w:r>
        <w:t>(от кого, должность)</w:t>
      </w:r>
      <w:r w:rsidR="00924CFF">
        <w:tab/>
      </w:r>
      <w:r>
        <w:t xml:space="preserve">             _______________</w:t>
      </w:r>
      <w:r w:rsidR="00924CFF">
        <w:tab/>
      </w:r>
      <w:r w:rsidR="00924CFF">
        <w:tab/>
      </w:r>
      <w:r>
        <w:t>(ФИО)</w:t>
      </w:r>
    </w:p>
    <w:sectPr w:rsidR="0092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1604"/>
    <w:multiLevelType w:val="multilevel"/>
    <w:tmpl w:val="7A4C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9373AB"/>
    <w:multiLevelType w:val="multilevel"/>
    <w:tmpl w:val="88ACC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D705C7"/>
    <w:multiLevelType w:val="multilevel"/>
    <w:tmpl w:val="95F8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44"/>
    <w:rsid w:val="00071644"/>
    <w:rsid w:val="000D0B8F"/>
    <w:rsid w:val="002B66E0"/>
    <w:rsid w:val="002F5A83"/>
    <w:rsid w:val="004A26AA"/>
    <w:rsid w:val="004A4627"/>
    <w:rsid w:val="004F1DED"/>
    <w:rsid w:val="006404F0"/>
    <w:rsid w:val="00781727"/>
    <w:rsid w:val="00855824"/>
    <w:rsid w:val="008C047A"/>
    <w:rsid w:val="00924CFF"/>
    <w:rsid w:val="00992389"/>
    <w:rsid w:val="00AC362A"/>
    <w:rsid w:val="00B3234F"/>
    <w:rsid w:val="00B3410D"/>
    <w:rsid w:val="00B53D7A"/>
    <w:rsid w:val="00B64CEB"/>
    <w:rsid w:val="00BB2D3A"/>
    <w:rsid w:val="00D20AD6"/>
    <w:rsid w:val="00D34BE0"/>
    <w:rsid w:val="00DE68B0"/>
    <w:rsid w:val="00E70EEF"/>
    <w:rsid w:val="00E8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6E5B"/>
  <w15:chartTrackingRefBased/>
  <w15:docId w15:val="{7B218AD8-DF3D-B340-A34F-EFCA0474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64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71644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4A462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A462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A462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A4627"/>
    <w:rPr>
      <w:b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A4627"/>
    <w:rPr>
      <w:b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A46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462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E6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spreadsheets/d/1n8UM7Cc4HJmXf6T7wzjxVsDJqhuJADD3p7HRNoJkBak/edit?usp=drives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EE97-2245-4F3E-B409-02C45680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Galushko</dc:creator>
  <cp:keywords/>
  <dc:description/>
  <cp:lastModifiedBy>Дмитрий</cp:lastModifiedBy>
  <cp:revision>2</cp:revision>
  <dcterms:created xsi:type="dcterms:W3CDTF">2026-04-13T09:22:00Z</dcterms:created>
  <dcterms:modified xsi:type="dcterms:W3CDTF">2026-04-13T09:22:00Z</dcterms:modified>
</cp:coreProperties>
</file>